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Obrazloženje Proračuna  Općine Jelsa za 2024. godinu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Osnova za izradu Proračuna Općine Jelsa za 2024. godinu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Osnova za izradu proračuna Općine Jelsa za 2024. godinu je definirana sljedećim zakonima i propisima:</w:t>
      </w:r>
    </w:p>
    <w:p w:rsidR="00CF0433" w:rsidRDefault="00CF0433" w:rsidP="00AF16A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Zakon o proračunu (“Narodne novine”, broj 144/21.)</w:t>
      </w:r>
    </w:p>
    <w:p w:rsidR="00CF0433" w:rsidRDefault="00CF0433" w:rsidP="00AF16A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Pravilnik o polugodišnjem i godišnjem izvještaju o izvršenju proračuna (“Narodne novine”, broj 24/13., 102/17., 01/20. i 147/20.)</w:t>
      </w:r>
    </w:p>
    <w:p w:rsidR="00CF0433" w:rsidRDefault="00CF0433" w:rsidP="00AF16A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Zakon o financiranju jedinica lokalne i područne (regionalne) samouprave (“Narodne novine”, broj 127/17. i 138/20.)</w:t>
      </w:r>
    </w:p>
    <w:p w:rsidR="00CF0433" w:rsidRDefault="00CF0433" w:rsidP="00AF16A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Pravilnik o proračunskim klasifikacijama (“Narodne novine”, broj 26/10., 120/13. i 01/20.)</w:t>
      </w:r>
    </w:p>
    <w:p w:rsidR="00CF0433" w:rsidRDefault="00CF0433" w:rsidP="00AF16A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Pravilnik o proračunskom računovodstvu i računskom planu (“Narodne novine”, broj 124/14., 115/15., 87/16., 3/18., 126/19. i 108/20.)</w:t>
      </w:r>
    </w:p>
    <w:p w:rsidR="00CF0433" w:rsidRDefault="00CF0433" w:rsidP="00AF16A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Ostali propisi koji reguliraju pojedine segmente poslovanja unutar proračuna.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Pored Općeg i Posebnog dijela, sastavni dio Proračuna Općine Jelsa za 2024. godinu su i projekcije Proračuna za 2025. i 2026. godinu. Novine kod donošenja Proračuna su da je Proračun za 2023. godinu, kao i projekcije Proračuna za 2024. i 2025. godinu, planiran na 2. razini (razini skupine računa) te da je planiran u eurima (EUR), službenoj valuti RH.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Pregled Proračuna za 2024. godinu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U nastavku pružamo kratak pregled glavnih elemenata Proračuna Općine Jelsa za 2024. godinu:</w:t>
      </w:r>
    </w:p>
    <w:p w:rsidR="00CF0433" w:rsidRDefault="00CF0433" w:rsidP="00AF16A3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Ukupni Prihodi:</w:t>
      </w:r>
      <w:r>
        <w:rPr>
          <w:rFonts w:ascii="Segoe UI" w:hAnsi="Segoe UI" w:cs="Segoe UI"/>
          <w:color w:val="374151"/>
        </w:rPr>
        <w:t xml:space="preserve"> Ukupni prihodi planirani za 2024. godinu iznose 5.943,630 EUR. Ovi prihodi uključuju prihode iz različitih izvora kao što su porezi, takse, dotacije, prihodi od prodaje imovine i drugi prihodi općine.</w:t>
      </w:r>
    </w:p>
    <w:p w:rsidR="00CF0433" w:rsidRDefault="00CF0433" w:rsidP="00AF16A3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Ukupni Rashodi:</w:t>
      </w:r>
      <w:r>
        <w:rPr>
          <w:rFonts w:ascii="Segoe UI" w:hAnsi="Segoe UI" w:cs="Segoe UI"/>
          <w:color w:val="374151"/>
        </w:rPr>
        <w:t xml:space="preserve"> Planirani ukupni rashodi za 2024. godinu iznose 5.943,630  EUR. Ovi rashodi obuhvaćaju troškove administracije, plaće i naknade zaposlenika, investicije, održavanje infrastrukture te socijalne programe i ostale aktivnosti od interesa za zajednicu.</w:t>
      </w:r>
    </w:p>
    <w:p w:rsidR="00CF0433" w:rsidRDefault="00CF0433" w:rsidP="00AF16A3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Projekcije za 2025. i 2026.:</w:t>
      </w:r>
      <w:r>
        <w:rPr>
          <w:rFonts w:ascii="Segoe UI" w:hAnsi="Segoe UI" w:cs="Segoe UI"/>
          <w:color w:val="374151"/>
        </w:rPr>
        <w:t xml:space="preserve"> Proračun također uključuje projekcije za sljedeće dvije godine (2025. i 2026.), kako bismo unaprijed planirali financijske izazove i prioritete.</w:t>
      </w:r>
    </w:p>
    <w:p w:rsidR="00CF0433" w:rsidRDefault="00CF0433" w:rsidP="00AF16A3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Valuta:</w:t>
      </w:r>
      <w:r>
        <w:rPr>
          <w:rFonts w:ascii="Segoe UI" w:hAnsi="Segoe UI" w:cs="Segoe UI"/>
          <w:color w:val="374151"/>
        </w:rPr>
        <w:t xml:space="preserve"> Važno je napomenuti da je proračun planiran u eurima (EUR), službenoj valuti Republike Hrvatske od 01. siječnja 2023. godine.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Style w:val="Strong"/>
          <w:rFonts w:ascii="Segoe UI" w:hAnsi="Segoe UI" w:cs="Segoe UI"/>
          <w:color w:val="374151"/>
          <w:bdr w:val="single" w:sz="2" w:space="0" w:color="D9D9E3" w:frame="1"/>
        </w:rPr>
      </w:pP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Prihodi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Prihodi poslovanja iznose 5.743,100 EUR i sastoje se od: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Prihoda od poreza i prireza na dohodak: 1.489.000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Prihoda od poreza na imovinu: 1.260.000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Prihoda od poreza na robu i usluge: 100.000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Prihoda od pomoći: 1.342,930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Prihoda od imovine: 191,570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Administrativnih pristojbi: 118.000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Prihoda po posebnim propisima: 137.600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Komunalnih doprinosa i naknada: 1.040.000 EUR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Ostalih prihoda poslovanja, uključujući donacije i naplaćene kazne: 64.000</w:t>
      </w:r>
    </w:p>
    <w:p w:rsidR="00CF0433" w:rsidRDefault="00CF0433" w:rsidP="00AF16A3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Prihod od prodaje zemljišta: 200.000 EUR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Rashodi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Ukupni rashodi proračuna za 2024. iznose 5.943,630 EUR, raspoređeni u različite programe i kategorije: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Za zaposlene:</w:t>
      </w:r>
      <w:r>
        <w:rPr>
          <w:rFonts w:ascii="Segoe UI" w:hAnsi="Segoe UI" w:cs="Segoe UI"/>
          <w:color w:val="374151"/>
        </w:rPr>
        <w:t xml:space="preserve"> 1.101,220 EUR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Materijalni rashodi:</w:t>
      </w:r>
      <w:r>
        <w:rPr>
          <w:rFonts w:ascii="Segoe UI" w:hAnsi="Segoe UI" w:cs="Segoe UI"/>
          <w:color w:val="374151"/>
        </w:rPr>
        <w:t xml:space="preserve"> 1.355,440 EUR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Financijski rashodi:</w:t>
      </w:r>
      <w:r>
        <w:rPr>
          <w:rFonts w:ascii="Segoe UI" w:hAnsi="Segoe UI" w:cs="Segoe UI"/>
          <w:color w:val="374151"/>
        </w:rPr>
        <w:t xml:space="preserve"> 36.980 EUR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Pomoći korisnicima drugih proračuna:</w:t>
      </w:r>
      <w:r>
        <w:rPr>
          <w:rFonts w:ascii="Segoe UI" w:hAnsi="Segoe UI" w:cs="Segoe UI"/>
          <w:color w:val="374151"/>
        </w:rPr>
        <w:t xml:space="preserve"> 34.130 EUR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Naknade građanima i kućanstvima:</w:t>
      </w:r>
      <w:r>
        <w:rPr>
          <w:rFonts w:ascii="Segoe UI" w:hAnsi="Segoe UI" w:cs="Segoe UI"/>
          <w:color w:val="374151"/>
        </w:rPr>
        <w:t xml:space="preserve"> 174.500 EUR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Ostali rashodi:</w:t>
      </w:r>
      <w:r>
        <w:rPr>
          <w:rFonts w:ascii="Segoe UI" w:hAnsi="Segoe UI" w:cs="Segoe UI"/>
          <w:color w:val="374151"/>
        </w:rPr>
        <w:t xml:space="preserve"> 1.426,540 EUR (donacije, kazne, penali, naknade štete, izvanredni rashodi i kapitalne pomoći)</w:t>
      </w:r>
    </w:p>
    <w:p w:rsidR="00CF0433" w:rsidRDefault="00CF0433" w:rsidP="00AF16A3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Rashodi za nabavu proizvedene dugotrajne imovine:</w:t>
      </w:r>
      <w:r>
        <w:rPr>
          <w:rFonts w:ascii="Segoe UI" w:hAnsi="Segoe UI" w:cs="Segoe UI"/>
          <w:color w:val="374151"/>
        </w:rPr>
        <w:t xml:space="preserve"> 1.779,820 EUR (uglavnom ulaganja u građevinske objekte)</w:t>
      </w:r>
    </w:p>
    <w:p w:rsidR="00CF0433" w:rsidRDefault="00CF0433" w:rsidP="00AF16A3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 xml:space="preserve">Programi 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1002:</w:t>
      </w:r>
      <w:r>
        <w:rPr>
          <w:rFonts w:ascii="Segoe UI" w:hAnsi="Segoe UI" w:cs="Segoe UI"/>
          <w:color w:val="374151"/>
        </w:rPr>
        <w:t xml:space="preserve"> Za izvršavanje financijskih obveza (kamate, bankarske usluge i usluge porezne uprave) u proračunu je planirano 33.700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1003:</w:t>
      </w:r>
      <w:r>
        <w:rPr>
          <w:rFonts w:ascii="Segoe UI" w:hAnsi="Segoe UI" w:cs="Segoe UI"/>
          <w:color w:val="374151"/>
        </w:rPr>
        <w:t xml:space="preserve"> Rashodi za javni red i sigurnost iznose 210.300 EUR i odnose se na protupožarnu i civilnu zaštitu.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1005:</w:t>
      </w:r>
      <w:r>
        <w:rPr>
          <w:rFonts w:ascii="Segoe UI" w:hAnsi="Segoe UI" w:cs="Segoe UI"/>
          <w:color w:val="374151"/>
        </w:rPr>
        <w:t xml:space="preserve"> Održavanje i izgradnja cesta, luka i javnih površina iznosi 992.000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1006:</w:t>
      </w:r>
      <w:r>
        <w:rPr>
          <w:rFonts w:ascii="Segoe UI" w:hAnsi="Segoe UI" w:cs="Segoe UI"/>
          <w:color w:val="374151"/>
        </w:rPr>
        <w:t xml:space="preserve"> Promicanje i razvoj turizma iznosi 9.000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1007:</w:t>
      </w:r>
      <w:r>
        <w:rPr>
          <w:rFonts w:ascii="Segoe UI" w:hAnsi="Segoe UI" w:cs="Segoe UI"/>
          <w:color w:val="374151"/>
        </w:rPr>
        <w:t xml:space="preserve"> Za zaštitu okoliša izdvojit će se 229.000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1008:</w:t>
      </w:r>
      <w:r>
        <w:rPr>
          <w:rFonts w:ascii="Segoe UI" w:hAnsi="Segoe UI" w:cs="Segoe UI"/>
          <w:color w:val="374151"/>
        </w:rPr>
        <w:t xml:space="preserve"> Unapređenje stanovanja i zajednice iznosi 1.129,300 EUR i obuhvaća različite aktivnosti.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1009:</w:t>
      </w:r>
      <w:r>
        <w:rPr>
          <w:rFonts w:ascii="Segoe UI" w:hAnsi="Segoe UI" w:cs="Segoe UI"/>
          <w:color w:val="374151"/>
        </w:rPr>
        <w:t xml:space="preserve"> Unapređenje zdravstva iznosi 25.000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1010:</w:t>
      </w:r>
      <w:r>
        <w:rPr>
          <w:rFonts w:ascii="Segoe UI" w:hAnsi="Segoe UI" w:cs="Segoe UI"/>
          <w:color w:val="374151"/>
        </w:rPr>
        <w:t xml:space="preserve"> Poticaj unapređenju i razvoju sporta iznosi 127.000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1011:</w:t>
      </w:r>
      <w:r>
        <w:rPr>
          <w:rFonts w:ascii="Segoe UI" w:hAnsi="Segoe UI" w:cs="Segoe UI"/>
          <w:color w:val="374151"/>
        </w:rPr>
        <w:t xml:space="preserve"> Donacije i programske djelatnosti u kulturi iznosi 144,630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1012:</w:t>
      </w:r>
      <w:r>
        <w:rPr>
          <w:rFonts w:ascii="Segoe UI" w:hAnsi="Segoe UI" w:cs="Segoe UI"/>
          <w:color w:val="374151"/>
        </w:rPr>
        <w:t xml:space="preserve"> Religijske i druge službe zajednice iznose 27.900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1013:</w:t>
      </w:r>
      <w:r>
        <w:rPr>
          <w:rFonts w:ascii="Segoe UI" w:hAnsi="Segoe UI" w:cs="Segoe UI"/>
          <w:color w:val="374151"/>
        </w:rPr>
        <w:t xml:space="preserve"> Unapređenje školstva iznosi 11.300 EUR.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1014:</w:t>
      </w:r>
      <w:r>
        <w:rPr>
          <w:rFonts w:ascii="Segoe UI" w:hAnsi="Segoe UI" w:cs="Segoe UI"/>
          <w:color w:val="374151"/>
        </w:rPr>
        <w:t xml:space="preserve"> Socijalna skrb i socijalne pomoći iznosi 195.000 EUR, od čega je 174.500 EUR za pomoći građanima i kućanstvima, a 20.500 EUR donacije organizacijama i udrugama socijalne skrbi.</w:t>
      </w:r>
    </w:p>
    <w:p w:rsidR="00CF0433" w:rsidRDefault="00CF0433" w:rsidP="00AF16A3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Program 1016:</w:t>
      </w:r>
      <w:r>
        <w:rPr>
          <w:rFonts w:ascii="Segoe UI" w:hAnsi="Segoe UI" w:cs="Segoe UI"/>
          <w:color w:val="374151"/>
        </w:rPr>
        <w:t xml:space="preserve"> Unapređenje predškolskog odgoja iznosi 863.000 EUR i odnosi se na izgradnju vrtića u Jelsi.</w:t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>
      <w:r>
        <w:t>KLASA: 400-06/23-01/3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</w:t>
      </w:r>
    </w:p>
    <w:p w:rsidR="00CF0433" w:rsidRDefault="00CF0433">
      <w:r>
        <w:t>URBROJ: 2181-26-23-4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OPĆINSKOG VIJEĆA</w:t>
      </w:r>
    </w:p>
    <w:p w:rsidR="00CF0433" w:rsidRDefault="00CF0433">
      <w:r>
        <w:t>Jelsa, 06. prosinca 2023.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Jure Gurdulić dipl.oec.</w:t>
      </w:r>
    </w:p>
    <w:p w:rsidR="00CF0433" w:rsidRDefault="00CF0433"/>
    <w:sectPr w:rsidR="00CF0433" w:rsidSect="00F7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Futura Bk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335C"/>
    <w:multiLevelType w:val="multilevel"/>
    <w:tmpl w:val="F6B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51475AA6"/>
    <w:multiLevelType w:val="multilevel"/>
    <w:tmpl w:val="BE7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5FF33635"/>
    <w:multiLevelType w:val="multilevel"/>
    <w:tmpl w:val="A8C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6A870C92"/>
    <w:multiLevelType w:val="multilevel"/>
    <w:tmpl w:val="D23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4">
    <w:nsid w:val="7FAD7655"/>
    <w:multiLevelType w:val="multilevel"/>
    <w:tmpl w:val="D0F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A3"/>
    <w:rsid w:val="000B6BAB"/>
    <w:rsid w:val="00173774"/>
    <w:rsid w:val="009B2EBC"/>
    <w:rsid w:val="00AF16A3"/>
    <w:rsid w:val="00B26BE6"/>
    <w:rsid w:val="00B8637F"/>
    <w:rsid w:val="00CF0433"/>
    <w:rsid w:val="00DB794E"/>
    <w:rsid w:val="00E93084"/>
    <w:rsid w:val="00F7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4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16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F1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666</Words>
  <Characters>3800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 Općine Jelsa za 2024</dc:title>
  <dc:subject/>
  <dc:creator>Frane Plenkovic</dc:creator>
  <cp:keywords/>
  <dc:description/>
  <cp:lastModifiedBy>User</cp:lastModifiedBy>
  <cp:revision>3</cp:revision>
  <cp:lastPrinted>2023-10-04T05:17:00Z</cp:lastPrinted>
  <dcterms:created xsi:type="dcterms:W3CDTF">2024-01-14T15:05:00Z</dcterms:created>
  <dcterms:modified xsi:type="dcterms:W3CDTF">2024-01-14T15:07:00Z</dcterms:modified>
</cp:coreProperties>
</file>